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B50" w:rsidRPr="00113B50" w:rsidRDefault="00113B50" w:rsidP="00113B50">
      <w:pPr>
        <w:rPr>
          <w:rFonts w:ascii="Times New Roman" w:eastAsia="Calibri" w:hAnsi="Times New Roman" w:cs="Times New Roman"/>
          <w:b/>
          <w:color w:val="000000"/>
          <w:sz w:val="24"/>
        </w:rPr>
      </w:pPr>
      <w:r w:rsidRPr="00113B50">
        <w:rPr>
          <w:rFonts w:ascii="Times New Roman" w:eastAsia="Calibri" w:hAnsi="Times New Roman" w:cs="Times New Roman"/>
          <w:b/>
          <w:color w:val="000000"/>
          <w:sz w:val="24"/>
        </w:rPr>
        <w:t>Указатель содержания GRI и соответствия базовым индикаторам результативности РСПП</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22"/>
        <w:gridCol w:w="1559"/>
        <w:gridCol w:w="5646"/>
      </w:tblGrid>
      <w:tr w:rsidR="00113B50" w:rsidRPr="00113B50" w:rsidTr="00142827">
        <w:trPr>
          <w:trHeight w:val="20"/>
        </w:trPr>
        <w:tc>
          <w:tcPr>
            <w:tcW w:w="3681" w:type="dxa"/>
            <w:gridSpan w:val="2"/>
            <w:shd w:val="clear" w:color="auto" w:fill="1F3864"/>
            <w:noWrap/>
            <w:vAlign w:val="bottom"/>
          </w:tcPr>
          <w:p w:rsidR="00113B50" w:rsidRPr="00113B50" w:rsidRDefault="00113B50" w:rsidP="00113B50">
            <w:pPr>
              <w:spacing w:after="0" w:line="240" w:lineRule="auto"/>
              <w:rPr>
                <w:rFonts w:ascii="Times New Roman" w:eastAsia="Times New Roman" w:hAnsi="Times New Roman" w:cs="Times New Roman"/>
                <w:b/>
                <w:bCs/>
                <w:color w:val="FFFFFF"/>
                <w:sz w:val="20"/>
                <w:szCs w:val="20"/>
                <w:lang w:eastAsia="ru-RU"/>
              </w:rPr>
            </w:pPr>
            <w:r w:rsidRPr="00113B50">
              <w:rPr>
                <w:rFonts w:ascii="Times New Roman" w:eastAsia="Times New Roman" w:hAnsi="Times New Roman" w:cs="Times New Roman"/>
                <w:b/>
                <w:bCs/>
                <w:color w:val="FFFFFF"/>
                <w:sz w:val="20"/>
                <w:szCs w:val="20"/>
                <w:lang w:eastAsia="ru-RU"/>
              </w:rPr>
              <w:t>Номер Стандарта</w:t>
            </w:r>
            <w:r w:rsidRPr="00113B50">
              <w:rPr>
                <w:rFonts w:ascii="Times New Roman" w:eastAsia="Times New Roman" w:hAnsi="Times New Roman" w:cs="Times New Roman"/>
                <w:b/>
                <w:bCs/>
                <w:color w:val="FFFFFF"/>
                <w:sz w:val="20"/>
                <w:szCs w:val="20"/>
                <w:lang w:val="en-US" w:eastAsia="ru-RU"/>
              </w:rPr>
              <w:t>/</w:t>
            </w:r>
            <w:r w:rsidRPr="00113B50">
              <w:rPr>
                <w:rFonts w:ascii="Times New Roman" w:eastAsia="Times New Roman" w:hAnsi="Times New Roman" w:cs="Times New Roman"/>
                <w:b/>
                <w:bCs/>
                <w:color w:val="FFFFFF"/>
                <w:sz w:val="20"/>
                <w:szCs w:val="20"/>
                <w:lang w:eastAsia="ru-RU"/>
              </w:rPr>
              <w:t>тема</w:t>
            </w:r>
          </w:p>
        </w:tc>
        <w:tc>
          <w:tcPr>
            <w:tcW w:w="5646" w:type="dxa"/>
            <w:shd w:val="clear" w:color="auto" w:fill="1F3864"/>
            <w:noWrap/>
            <w:vAlign w:val="center"/>
          </w:tcPr>
          <w:p w:rsidR="00113B50" w:rsidRPr="00113B50" w:rsidRDefault="00113B50" w:rsidP="00113B50">
            <w:pPr>
              <w:spacing w:after="0" w:line="240" w:lineRule="auto"/>
              <w:jc w:val="center"/>
              <w:rPr>
                <w:rFonts w:ascii="Times New Roman" w:eastAsia="Times New Roman" w:hAnsi="Times New Roman" w:cs="Times New Roman"/>
                <w:b/>
                <w:sz w:val="20"/>
                <w:szCs w:val="20"/>
                <w:lang w:eastAsia="ru-RU"/>
              </w:rPr>
            </w:pPr>
            <w:r w:rsidRPr="00113B50">
              <w:rPr>
                <w:rFonts w:ascii="Times New Roman" w:eastAsia="Times New Roman" w:hAnsi="Times New Roman" w:cs="Times New Roman"/>
                <w:b/>
                <w:color w:val="FFFFFF"/>
                <w:sz w:val="20"/>
                <w:szCs w:val="20"/>
                <w:lang w:eastAsia="ru-RU"/>
              </w:rPr>
              <w:t>Раздел Отчета</w:t>
            </w:r>
          </w:p>
        </w:tc>
      </w:tr>
      <w:tr w:rsidR="00113B50" w:rsidRPr="00113B50" w:rsidTr="00142827">
        <w:trPr>
          <w:trHeight w:val="20"/>
        </w:trPr>
        <w:tc>
          <w:tcPr>
            <w:tcW w:w="9327" w:type="dxa"/>
            <w:gridSpan w:val="3"/>
            <w:shd w:val="clear" w:color="auto" w:fill="1F3864"/>
            <w:noWrap/>
            <w:vAlign w:val="bottom"/>
          </w:tcPr>
          <w:p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1. ПРОФИЛЬ ОРГАНИЗАЦИИ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 xml:space="preserve">О Корпорации </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102-2</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 Корпорации.</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102-3</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Контактная информация и полезные ссылки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Международный бизнес</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 Корпорации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102-6</w:t>
            </w:r>
          </w:p>
        </w:tc>
        <w:tc>
          <w:tcPr>
            <w:tcW w:w="5646" w:type="dxa"/>
            <w:vAlign w:val="center"/>
          </w:tcPr>
          <w:p w:rsid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p w:rsidR="001955DE" w:rsidRPr="00113B50" w:rsidRDefault="001955DE"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Международный бизнес</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102-7</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 Корпорации.</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Финансово-экономические результаты</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102-8</w:t>
            </w:r>
            <w:r w:rsidRPr="00113B50">
              <w:rPr>
                <w:rFonts w:ascii="Times New Roman" w:eastAsia="Times New Roman" w:hAnsi="Times New Roman" w:cs="Times New Roman"/>
                <w:sz w:val="20"/>
                <w:szCs w:val="20"/>
                <w:vertAlign w:val="superscript"/>
                <w:lang w:eastAsia="ru-RU"/>
              </w:rPr>
              <w:footnoteReference w:id="1"/>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102-9</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Управление закупочной деятельностью</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102-10</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102-11</w:t>
            </w:r>
            <w:r w:rsidRPr="00113B50">
              <w:rPr>
                <w:rFonts w:ascii="Times New Roman" w:eastAsia="Times New Roman" w:hAnsi="Times New Roman" w:cs="Times New Roman"/>
                <w:sz w:val="20"/>
                <w:szCs w:val="20"/>
                <w:vertAlign w:val="superscript"/>
                <w:lang w:eastAsia="ru-RU"/>
              </w:rPr>
              <w:footnoteReference w:id="2"/>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102-12</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Международное сотрудничество.</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102-13</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i/>
                <w:iCs/>
                <w:color w:val="FF0000"/>
                <w:sz w:val="20"/>
                <w:szCs w:val="20"/>
                <w:lang w:eastAsia="ru-RU"/>
              </w:rPr>
            </w:pPr>
            <w:r w:rsidRPr="00113B50">
              <w:rPr>
                <w:rFonts w:ascii="Times New Roman" w:eastAsia="Calibri" w:hAnsi="Times New Roman" w:cs="Times New Roman"/>
                <w:sz w:val="20"/>
              </w:rPr>
              <w:t>Информация размещена в отчете за 2014 год (http://ar2014.rosatom.ru/#/ru/1482).</w:t>
            </w:r>
          </w:p>
        </w:tc>
      </w:tr>
      <w:tr w:rsidR="00113B50" w:rsidRPr="00113B50" w:rsidTr="00142827">
        <w:trPr>
          <w:trHeight w:val="20"/>
        </w:trPr>
        <w:tc>
          <w:tcPr>
            <w:tcW w:w="9327" w:type="dxa"/>
            <w:gridSpan w:val="3"/>
            <w:shd w:val="clear" w:color="auto" w:fill="1F3864"/>
            <w:noWrap/>
            <w:vAlign w:val="bottom"/>
          </w:tcPr>
          <w:p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2. СТРАТЕГИЯ И АНАЛИЗ</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102-14</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Обращение председателя наблюдательного совета.</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Обращение генерального директора</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102-15</w:t>
            </w:r>
          </w:p>
        </w:tc>
        <w:tc>
          <w:tcPr>
            <w:tcW w:w="5646" w:type="dxa"/>
            <w:vAlign w:val="center"/>
          </w:tcPr>
          <w:p w:rsidR="003B5896"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Повестка в области устойчивого развития</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Риск-менеджмент</w:t>
            </w:r>
          </w:p>
        </w:tc>
      </w:tr>
      <w:tr w:rsidR="00113B50" w:rsidRPr="00113B50" w:rsidTr="00142827">
        <w:trPr>
          <w:trHeight w:val="20"/>
        </w:trPr>
        <w:tc>
          <w:tcPr>
            <w:tcW w:w="9327" w:type="dxa"/>
            <w:gridSpan w:val="3"/>
            <w:shd w:val="clear" w:color="auto" w:fill="1F3864"/>
            <w:noWrap/>
            <w:vAlign w:val="bottom"/>
          </w:tcPr>
          <w:p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3. ЭТИКА И ДОБРОСОВЕСТНОСТЬ</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102-16</w:t>
            </w:r>
            <w:r w:rsidRPr="00113B50">
              <w:rPr>
                <w:rFonts w:ascii="Times New Roman" w:eastAsia="Times New Roman" w:hAnsi="Times New Roman" w:cs="Times New Roman"/>
                <w:sz w:val="20"/>
                <w:szCs w:val="20"/>
                <w:vertAlign w:val="superscript"/>
                <w:lang w:eastAsia="ru-RU"/>
              </w:rPr>
              <w:footnoteReference w:id="3"/>
            </w:r>
          </w:p>
        </w:tc>
        <w:tc>
          <w:tcPr>
            <w:tcW w:w="5646" w:type="dxa"/>
            <w:vAlign w:val="center"/>
          </w:tcPr>
          <w:p w:rsidR="003B5896"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Стратегия деятельности до 2030 года</w:t>
            </w:r>
          </w:p>
          <w:p w:rsidR="003B5896"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Повестка в области устойчивого развития</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102-17</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 xml:space="preserve">Реализация кадровой политики. </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rsidTr="00142827">
        <w:trPr>
          <w:trHeight w:val="20"/>
        </w:trPr>
        <w:tc>
          <w:tcPr>
            <w:tcW w:w="9327" w:type="dxa"/>
            <w:gridSpan w:val="3"/>
            <w:shd w:val="clear" w:color="auto" w:fill="1F3864"/>
            <w:noWrap/>
            <w:vAlign w:val="bottom"/>
          </w:tcPr>
          <w:p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4. КОРПОРАТИВНОЕ УПРАВЛЕНИЕ</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102-18</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102-23</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tc>
      </w:tr>
      <w:tr w:rsidR="00113B50" w:rsidRPr="00113B50" w:rsidTr="00142827">
        <w:trPr>
          <w:trHeight w:val="20"/>
        </w:trPr>
        <w:tc>
          <w:tcPr>
            <w:tcW w:w="9327" w:type="dxa"/>
            <w:gridSpan w:val="3"/>
            <w:shd w:val="clear" w:color="auto" w:fill="1F3864"/>
            <w:noWrap/>
            <w:vAlign w:val="bottom"/>
          </w:tcPr>
          <w:p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5. ВЗАИМОДЕЙСТВИЕ С ЗАИНТЕРЕСОВАННЫМИ СТОРОНАМИ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102-40</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102-41</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102-42</w:t>
            </w:r>
            <w:r w:rsidRPr="00113B50">
              <w:rPr>
                <w:rFonts w:ascii="Times New Roman" w:eastAsia="Times New Roman" w:hAnsi="Times New Roman" w:cs="Times New Roman"/>
                <w:sz w:val="20"/>
                <w:szCs w:val="20"/>
                <w:vertAlign w:val="superscript"/>
                <w:lang w:eastAsia="ru-RU"/>
              </w:rPr>
              <w:footnoteReference w:id="4"/>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102-43</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p w:rsidR="00113B50" w:rsidRPr="00113B50"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Диалоги с заинтересованными сторонами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lastRenderedPageBreak/>
              <w:t>102-44</w:t>
            </w:r>
            <w:r w:rsidRPr="00113B50">
              <w:rPr>
                <w:rFonts w:ascii="Times New Roman" w:eastAsia="Times New Roman" w:hAnsi="Times New Roman" w:cs="Times New Roman"/>
                <w:sz w:val="20"/>
                <w:szCs w:val="20"/>
                <w:vertAlign w:val="superscript"/>
                <w:lang w:eastAsia="ru-RU"/>
              </w:rPr>
              <w:footnoteReference w:id="5"/>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Диалоги с заинтересованными сторонами.</w:t>
            </w:r>
          </w:p>
          <w:p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Учет предложений заинтересованных сторон.</w:t>
            </w:r>
          </w:p>
          <w:p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Приложение 1</w:t>
            </w:r>
          </w:p>
        </w:tc>
      </w:tr>
      <w:tr w:rsidR="00113B50" w:rsidRPr="00113B50" w:rsidTr="00142827">
        <w:trPr>
          <w:trHeight w:val="20"/>
        </w:trPr>
        <w:tc>
          <w:tcPr>
            <w:tcW w:w="9327" w:type="dxa"/>
            <w:gridSpan w:val="3"/>
            <w:shd w:val="clear" w:color="auto" w:fill="1F3864"/>
            <w:noWrap/>
            <w:vAlign w:val="bottom"/>
          </w:tcPr>
          <w:p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6. ПРАКТИКА ПОДГОТОВКИ ОТЧЕТНОСТИ</w:t>
            </w:r>
          </w:p>
        </w:tc>
      </w:tr>
      <w:tr w:rsidR="00113B50" w:rsidRPr="00113B50" w:rsidTr="00142827">
        <w:trPr>
          <w:trHeight w:val="20"/>
        </w:trPr>
        <w:tc>
          <w:tcPr>
            <w:tcW w:w="3681" w:type="dxa"/>
            <w:gridSpan w:val="2"/>
            <w:vAlign w:val="bottom"/>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102-45</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iCs/>
                <w:color w:val="FF0000"/>
                <w:sz w:val="20"/>
                <w:szCs w:val="20"/>
                <w:lang w:eastAsia="ru-RU"/>
              </w:rPr>
            </w:pPr>
            <w:r w:rsidRPr="00113B50">
              <w:rPr>
                <w:rFonts w:ascii="Times New Roman" w:eastAsia="Times New Roman" w:hAnsi="Times New Roman" w:cs="Times New Roman"/>
                <w:iCs/>
                <w:color w:val="000000"/>
                <w:sz w:val="20"/>
                <w:szCs w:val="20"/>
                <w:lang w:eastAsia="ru-RU"/>
              </w:rPr>
              <w:t>Перечень организаций, входящих в различные периметры консолидации, будет раскрыт в интерактивной версии отчета</w:t>
            </w:r>
          </w:p>
        </w:tc>
      </w:tr>
      <w:tr w:rsidR="00113B50" w:rsidRPr="00113B50" w:rsidTr="00142827">
        <w:trPr>
          <w:trHeight w:val="20"/>
        </w:trPr>
        <w:tc>
          <w:tcPr>
            <w:tcW w:w="3681" w:type="dxa"/>
            <w:gridSpan w:val="2"/>
            <w:vAlign w:val="bottom"/>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102-46</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102-47</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102-48</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iCs/>
                <w:color w:val="FF0000"/>
                <w:sz w:val="20"/>
                <w:szCs w:val="20"/>
                <w:lang w:eastAsia="ru-RU"/>
              </w:rPr>
            </w:pPr>
            <w:proofErr w:type="spellStart"/>
            <w:r w:rsidRPr="00113B50">
              <w:rPr>
                <w:rFonts w:ascii="Times New Roman" w:eastAsia="Times New Roman" w:hAnsi="Times New Roman" w:cs="Times New Roman"/>
                <w:iCs/>
                <w:color w:val="000000"/>
                <w:sz w:val="20"/>
                <w:szCs w:val="20"/>
                <w:lang w:eastAsia="ru-RU"/>
              </w:rPr>
              <w:t>Переформулировок</w:t>
            </w:r>
            <w:proofErr w:type="spellEnd"/>
            <w:r w:rsidRPr="00113B50">
              <w:rPr>
                <w:rFonts w:ascii="Times New Roman" w:eastAsia="Times New Roman" w:hAnsi="Times New Roman" w:cs="Times New Roman"/>
                <w:iCs/>
                <w:color w:val="000000"/>
                <w:sz w:val="20"/>
                <w:szCs w:val="20"/>
                <w:lang w:eastAsia="ru-RU"/>
              </w:rPr>
              <w:t xml:space="preserve"> не было </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102-49</w:t>
            </w:r>
            <w:r w:rsidRPr="00113B50">
              <w:rPr>
                <w:rFonts w:ascii="Times New Roman" w:eastAsia="Times New Roman" w:hAnsi="Times New Roman" w:cs="Times New Roman"/>
                <w:sz w:val="20"/>
                <w:szCs w:val="20"/>
                <w:vertAlign w:val="superscript"/>
                <w:lang w:eastAsia="ru-RU"/>
              </w:rPr>
              <w:footnoteReference w:id="6"/>
            </w:r>
          </w:p>
        </w:tc>
        <w:tc>
          <w:tcPr>
            <w:tcW w:w="5646" w:type="dxa"/>
            <w:vAlign w:val="center"/>
          </w:tcPr>
          <w:p w:rsidR="00113B50" w:rsidRPr="00113B50" w:rsidRDefault="001955DE" w:rsidP="00113B50">
            <w:pPr>
              <w:spacing w:after="0" w:line="240" w:lineRule="auto"/>
              <w:jc w:val="center"/>
              <w:rPr>
                <w:rFonts w:ascii="Times New Roman" w:eastAsia="Times New Roman" w:hAnsi="Times New Roman" w:cs="Times New Roman"/>
                <w:iCs/>
                <w:color w:val="000000"/>
                <w:sz w:val="20"/>
                <w:szCs w:val="20"/>
                <w:lang w:eastAsia="ru-RU"/>
              </w:rPr>
            </w:pPr>
            <w:r w:rsidRPr="001955DE">
              <w:rPr>
                <w:rFonts w:ascii="Times New Roman" w:eastAsia="Times New Roman" w:hAnsi="Times New Roman" w:cs="Times New Roman"/>
                <w:iCs/>
                <w:color w:val="000000"/>
                <w:sz w:val="20"/>
                <w:szCs w:val="20"/>
                <w:lang w:eastAsia="ru-RU"/>
              </w:rPr>
              <w:t>Существенные изменения перечня существенных тем и их границ по сравнению с предыдущим отчетным периодом отсутствуют</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102-50</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102-51</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102-52</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102-53</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Анкета обратной связи</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102-54</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102-55</w:t>
            </w:r>
          </w:p>
        </w:tc>
        <w:tc>
          <w:tcPr>
            <w:tcW w:w="5646" w:type="dxa"/>
            <w:vAlign w:val="center"/>
          </w:tcPr>
          <w:p w:rsidR="00292507" w:rsidRDefault="00292507" w:rsidP="00292507">
            <w:pPr>
              <w:spacing w:after="0" w:line="240" w:lineRule="auto"/>
              <w:jc w:val="center"/>
              <w:rPr>
                <w:rFonts w:ascii="Times New Roman" w:eastAsia="Times New Roman" w:hAnsi="Times New Roman" w:cs="Times New Roman"/>
                <w:iCs/>
                <w:color w:val="000000" w:themeColor="text1"/>
                <w:sz w:val="20"/>
                <w:szCs w:val="20"/>
                <w:lang w:eastAsia="ru-RU"/>
              </w:rPr>
            </w:pPr>
            <w:r w:rsidRPr="00292507">
              <w:rPr>
                <w:rFonts w:ascii="Times New Roman" w:eastAsia="Times New Roman" w:hAnsi="Times New Roman" w:cs="Times New Roman"/>
                <w:iCs/>
                <w:color w:val="000000" w:themeColor="text1"/>
                <w:sz w:val="20"/>
                <w:szCs w:val="20"/>
                <w:lang w:eastAsia="ru-RU"/>
              </w:rPr>
              <w:t xml:space="preserve">Указатель </w:t>
            </w:r>
            <w:r w:rsidRPr="00292507">
              <w:rPr>
                <w:rFonts w:ascii="Times New Roman" w:eastAsia="Times New Roman" w:hAnsi="Times New Roman" w:cs="Times New Roman"/>
                <w:iCs/>
                <w:color w:val="000000" w:themeColor="text1"/>
                <w:sz w:val="20"/>
                <w:szCs w:val="20"/>
                <w:lang w:val="en-US" w:eastAsia="ru-RU"/>
              </w:rPr>
              <w:t>GRI</w:t>
            </w:r>
            <w:r w:rsidRPr="00292507">
              <w:rPr>
                <w:rFonts w:ascii="Times New Roman" w:eastAsia="Times New Roman" w:hAnsi="Times New Roman" w:cs="Times New Roman"/>
                <w:iCs/>
                <w:color w:val="000000" w:themeColor="text1"/>
                <w:sz w:val="20"/>
                <w:szCs w:val="20"/>
                <w:lang w:eastAsia="ru-RU"/>
              </w:rPr>
              <w:t xml:space="preserve"> размещен на сайте Корпорации</w:t>
            </w:r>
            <w:r w:rsidR="00483D84">
              <w:rPr>
                <w:rFonts w:ascii="Times New Roman" w:eastAsia="Times New Roman" w:hAnsi="Times New Roman" w:cs="Times New Roman"/>
                <w:iCs/>
                <w:color w:val="000000" w:themeColor="text1"/>
                <w:sz w:val="20"/>
                <w:szCs w:val="20"/>
                <w:lang w:eastAsia="ru-RU"/>
              </w:rPr>
              <w:t>, в разделе «Публичная отчетность»:</w:t>
            </w:r>
          </w:p>
          <w:p w:rsidR="00483D84" w:rsidRPr="00292507" w:rsidRDefault="00567523" w:rsidP="00292507">
            <w:pPr>
              <w:spacing w:after="0" w:line="240" w:lineRule="auto"/>
              <w:jc w:val="center"/>
              <w:rPr>
                <w:rFonts w:ascii="Times New Roman" w:eastAsia="Times New Roman" w:hAnsi="Times New Roman" w:cs="Times New Roman"/>
                <w:iCs/>
                <w:color w:val="000000" w:themeColor="text1"/>
                <w:sz w:val="20"/>
                <w:szCs w:val="20"/>
                <w:lang w:eastAsia="ru-RU"/>
              </w:rPr>
            </w:pPr>
            <w:hyperlink r:id="rId7" w:history="1">
              <w:r w:rsidR="00483D84" w:rsidRPr="00081C26">
                <w:rPr>
                  <w:rStyle w:val="a6"/>
                  <w:rFonts w:ascii="Times New Roman" w:eastAsia="Times New Roman" w:hAnsi="Times New Roman" w:cs="Times New Roman"/>
                  <w:iCs/>
                  <w:sz w:val="20"/>
                  <w:szCs w:val="20"/>
                  <w:lang w:eastAsia="ru-RU"/>
                </w:rPr>
                <w:t>http://www.rosatom.ru/about/publichnaya-otchetnost/</w:t>
              </w:r>
            </w:hyperlink>
            <w:r w:rsidR="00483D84">
              <w:rPr>
                <w:rFonts w:ascii="Times New Roman" w:eastAsia="Times New Roman" w:hAnsi="Times New Roman" w:cs="Times New Roman"/>
                <w:iCs/>
                <w:color w:val="000000" w:themeColor="text1"/>
                <w:sz w:val="20"/>
                <w:szCs w:val="20"/>
                <w:lang w:eastAsia="ru-RU"/>
              </w:rPr>
              <w:t xml:space="preserve"> </w:t>
            </w:r>
          </w:p>
        </w:tc>
      </w:tr>
      <w:tr w:rsidR="00113B50" w:rsidRPr="00113B50" w:rsidTr="00142827">
        <w:trPr>
          <w:trHeight w:val="20"/>
        </w:trPr>
        <w:tc>
          <w:tcPr>
            <w:tcW w:w="3681" w:type="dxa"/>
            <w:gridSpan w:val="2"/>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102-56</w:t>
            </w:r>
            <w:r w:rsidRPr="00113B50">
              <w:rPr>
                <w:rFonts w:ascii="Times New Roman" w:eastAsia="Times New Roman" w:hAnsi="Times New Roman" w:cs="Times New Roman"/>
                <w:sz w:val="20"/>
                <w:szCs w:val="20"/>
                <w:vertAlign w:val="superscript"/>
                <w:lang w:eastAsia="ru-RU"/>
              </w:rPr>
              <w:footnoteReference w:id="7"/>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rsidTr="00142827">
        <w:trPr>
          <w:trHeight w:val="20"/>
        </w:trPr>
        <w:tc>
          <w:tcPr>
            <w:tcW w:w="9327" w:type="dxa"/>
            <w:gridSpan w:val="3"/>
            <w:shd w:val="clear" w:color="auto" w:fill="1F3864"/>
            <w:vAlign w:val="center"/>
          </w:tcPr>
          <w:p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 xml:space="preserve">7. РАСКРЫТИЕ СПЕЦИФИЧЕСКИХ ТЕМ </w:t>
            </w:r>
            <w:r w:rsidRPr="00113B50">
              <w:rPr>
                <w:rFonts w:ascii="Times New Roman" w:eastAsia="Times New Roman" w:hAnsi="Times New Roman" w:cs="Times New Roman"/>
                <w:b/>
                <w:bCs/>
                <w:color w:val="FFFFFF"/>
                <w:sz w:val="20"/>
                <w:szCs w:val="20"/>
                <w:lang w:val="en-US" w:eastAsia="ru-RU"/>
              </w:rPr>
              <w:t>GRI</w:t>
            </w:r>
            <w:r w:rsidRPr="00113B50">
              <w:rPr>
                <w:rFonts w:ascii="Times New Roman" w:eastAsia="Times New Roman" w:hAnsi="Times New Roman" w:cs="Times New Roman"/>
                <w:b/>
                <w:bCs/>
                <w:color w:val="FFFFFF"/>
                <w:sz w:val="20"/>
                <w:szCs w:val="20"/>
                <w:lang w:eastAsia="ru-RU"/>
              </w:rPr>
              <w:t xml:space="preserve"> И ПОДХОДОВ К УПРАВЛЕНИЮ</w:t>
            </w:r>
            <w:r w:rsidRPr="00113B50">
              <w:rPr>
                <w:rFonts w:ascii="Times New Roman" w:eastAsia="Times New Roman" w:hAnsi="Times New Roman" w:cs="Times New Roman"/>
                <w:b/>
                <w:bCs/>
                <w:color w:val="FFFFFF"/>
                <w:sz w:val="20"/>
                <w:szCs w:val="20"/>
                <w:vertAlign w:val="superscript"/>
                <w:lang w:eastAsia="ru-RU"/>
              </w:rPr>
              <w:footnoteReference w:id="8"/>
            </w:r>
          </w:p>
        </w:tc>
      </w:tr>
      <w:tr w:rsidR="00113B50" w:rsidRPr="00113B50" w:rsidTr="00142827">
        <w:trPr>
          <w:trHeight w:val="20"/>
        </w:trPr>
        <w:tc>
          <w:tcPr>
            <w:tcW w:w="2122" w:type="dxa"/>
            <w:vMerge w:val="restart"/>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201 Экономическая результативность 2016</w:t>
            </w: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201-4</w:t>
            </w:r>
          </w:p>
        </w:tc>
        <w:tc>
          <w:tcPr>
            <w:tcW w:w="5646" w:type="dxa"/>
            <w:shd w:val="clear" w:color="auto" w:fill="FFFFFF"/>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Госкорпорация «Росатом» не получает финансовую помощь от государства</w:t>
            </w:r>
          </w:p>
        </w:tc>
      </w:tr>
      <w:tr w:rsidR="00113B50" w:rsidRPr="00113B50" w:rsidTr="00142827">
        <w:trPr>
          <w:trHeight w:val="20"/>
        </w:trPr>
        <w:tc>
          <w:tcPr>
            <w:tcW w:w="2122" w:type="dxa"/>
            <w:vMerge/>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w:t>
            </w:r>
            <w:r w:rsidRPr="00113B50">
              <w:rPr>
                <w:rFonts w:ascii="Times New Roman" w:eastAsia="Calibri" w:hAnsi="Times New Roman" w:cs="Times New Roman"/>
                <w:color w:val="000000"/>
                <w:sz w:val="20"/>
                <w:szCs w:val="20"/>
                <w:vertAlign w:val="superscript"/>
              </w:rPr>
              <w:footnoteReference w:id="9"/>
            </w:r>
            <w:r w:rsidRPr="00113B50">
              <w:rPr>
                <w:rFonts w:ascii="Times New Roman" w:eastAsia="Calibri" w:hAnsi="Times New Roman" w:cs="Times New Roman"/>
                <w:color w:val="000000"/>
                <w:sz w:val="20"/>
                <w:szCs w:val="20"/>
              </w:rPr>
              <w:t>, 103-2, 103-3</w:t>
            </w:r>
          </w:p>
        </w:tc>
        <w:tc>
          <w:tcPr>
            <w:tcW w:w="5646" w:type="dxa"/>
            <w:shd w:val="clear" w:color="auto" w:fill="FFFFFF"/>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Финансово-экономические результаты</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rsidTr="00142827">
        <w:trPr>
          <w:trHeight w:val="20"/>
        </w:trPr>
        <w:tc>
          <w:tcPr>
            <w:tcW w:w="2122" w:type="dxa"/>
            <w:vMerge w:val="restart"/>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203 Непрямые экономические воздействия 2016</w:t>
            </w: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203-1</w:t>
            </w:r>
          </w:p>
        </w:tc>
        <w:tc>
          <w:tcPr>
            <w:tcW w:w="5646" w:type="dxa"/>
            <w:shd w:val="clear" w:color="auto" w:fill="FFFFFF"/>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rsidTr="00142827">
        <w:trPr>
          <w:trHeight w:val="20"/>
        </w:trPr>
        <w:tc>
          <w:tcPr>
            <w:tcW w:w="2122" w:type="dxa"/>
            <w:vMerge/>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203-2</w:t>
            </w:r>
          </w:p>
        </w:tc>
        <w:tc>
          <w:tcPr>
            <w:tcW w:w="5646" w:type="dxa"/>
            <w:shd w:val="clear" w:color="auto" w:fill="FFFFFF"/>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rsidTr="00142827">
        <w:trPr>
          <w:trHeight w:val="360"/>
        </w:trPr>
        <w:tc>
          <w:tcPr>
            <w:tcW w:w="2122" w:type="dxa"/>
            <w:vMerge/>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shd w:val="clear" w:color="auto" w:fill="FFFFFF"/>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rsidTr="00142827">
        <w:tblPrEx>
          <w:tblCellMar>
            <w:top w:w="0" w:type="dxa"/>
            <w:bottom w:w="0" w:type="dxa"/>
          </w:tblCellMar>
          <w:tblLook w:val="0000" w:firstRow="0" w:lastRow="0" w:firstColumn="0" w:lastColumn="0" w:noHBand="0" w:noVBand="0"/>
        </w:tblPrEx>
        <w:trPr>
          <w:trHeight w:val="252"/>
        </w:trPr>
        <w:tc>
          <w:tcPr>
            <w:tcW w:w="2122" w:type="dxa"/>
            <w:vMerge w:val="restart"/>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204 Практики закупок 2016</w:t>
            </w: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204-1</w:t>
            </w:r>
          </w:p>
        </w:tc>
        <w:tc>
          <w:tcPr>
            <w:tcW w:w="5646" w:type="dxa"/>
            <w:vAlign w:val="center"/>
          </w:tcPr>
          <w:p w:rsidR="00113B50" w:rsidRPr="00113B50" w:rsidRDefault="00113B50" w:rsidP="00113B50">
            <w:pPr>
              <w:spacing w:after="0" w:line="240" w:lineRule="auto"/>
              <w:jc w:val="center"/>
              <w:rPr>
                <w:rFonts w:ascii="Times New Roman" w:eastAsia="Calibri" w:hAnsi="Times New Roman" w:cs="Times New Roman"/>
                <w:b/>
                <w:color w:val="000000"/>
                <w:sz w:val="24"/>
              </w:rPr>
            </w:pPr>
            <w:r w:rsidRPr="00113B50">
              <w:rPr>
                <w:rFonts w:ascii="Times New Roman" w:eastAsia="Calibri" w:hAnsi="Times New Roman" w:cs="Times New Roman"/>
                <w:sz w:val="20"/>
              </w:rPr>
              <w:t>Централизованный учет закупок у местных поставщиков не ведется</w:t>
            </w:r>
          </w:p>
        </w:tc>
      </w:tr>
      <w:tr w:rsidR="00113B50" w:rsidRPr="00113B50" w:rsidTr="00142827">
        <w:tblPrEx>
          <w:tblCellMar>
            <w:top w:w="0" w:type="dxa"/>
            <w:bottom w:w="0" w:type="dxa"/>
          </w:tblCellMar>
          <w:tblLook w:val="0000" w:firstRow="0" w:lastRow="0" w:firstColumn="0" w:lastColumn="0" w:noHBand="0" w:noVBand="0"/>
        </w:tblPrEx>
        <w:trPr>
          <w:trHeight w:val="486"/>
        </w:trPr>
        <w:tc>
          <w:tcPr>
            <w:tcW w:w="2122" w:type="dxa"/>
            <w:vMerge/>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Управление закупочной деятельностью</w:t>
            </w:r>
          </w:p>
        </w:tc>
      </w:tr>
      <w:tr w:rsidR="00113B50" w:rsidRPr="00113B50" w:rsidTr="00142827">
        <w:tblPrEx>
          <w:tblCellMar>
            <w:top w:w="0" w:type="dxa"/>
            <w:bottom w:w="0" w:type="dxa"/>
          </w:tblCellMar>
          <w:tblLook w:val="0000" w:firstRow="0" w:lastRow="0" w:firstColumn="0" w:lastColumn="0" w:noHBand="0" w:noVBand="0"/>
        </w:tblPrEx>
        <w:trPr>
          <w:trHeight w:val="680"/>
        </w:trPr>
        <w:tc>
          <w:tcPr>
            <w:tcW w:w="2122" w:type="dxa"/>
            <w:vMerge w:val="restart"/>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205 Противодействие коррупции 2016</w:t>
            </w: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205-2</w:t>
            </w:r>
            <w:r w:rsidRPr="00113B50">
              <w:rPr>
                <w:rFonts w:ascii="Times New Roman" w:eastAsia="Calibri" w:hAnsi="Times New Roman" w:cs="Times New Roman"/>
                <w:color w:val="000000"/>
                <w:sz w:val="20"/>
                <w:szCs w:val="20"/>
                <w:vertAlign w:val="superscript"/>
              </w:rPr>
              <w:footnoteReference w:id="10"/>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rsidTr="00142827">
        <w:tblPrEx>
          <w:tblCellMar>
            <w:top w:w="0" w:type="dxa"/>
            <w:bottom w:w="0" w:type="dxa"/>
          </w:tblCellMar>
          <w:tblLook w:val="0000" w:firstRow="0" w:lastRow="0" w:firstColumn="0" w:lastColumn="0" w:noHBand="0" w:noVBand="0"/>
        </w:tblPrEx>
        <w:trPr>
          <w:trHeight w:val="397"/>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rsidTr="00142827">
        <w:tblPrEx>
          <w:tblCellMar>
            <w:top w:w="0" w:type="dxa"/>
            <w:bottom w:w="0" w:type="dxa"/>
          </w:tblCellMar>
          <w:tblLook w:val="0000" w:firstRow="0" w:lastRow="0" w:firstColumn="0" w:lastColumn="0" w:noHBand="0" w:noVBand="0"/>
        </w:tblPrEx>
        <w:trPr>
          <w:trHeight w:val="113"/>
        </w:trPr>
        <w:tc>
          <w:tcPr>
            <w:tcW w:w="2122" w:type="dxa"/>
            <w:vMerge w:val="restart"/>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302 Энергия 2016</w:t>
            </w: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302-4</w:t>
            </w:r>
            <w:r w:rsidRPr="00113B50">
              <w:rPr>
                <w:rFonts w:ascii="Times New Roman" w:eastAsia="Calibri" w:hAnsi="Times New Roman" w:cs="Times New Roman"/>
                <w:color w:val="000000"/>
                <w:sz w:val="20"/>
                <w:szCs w:val="20"/>
                <w:vertAlign w:val="superscript"/>
              </w:rPr>
              <w:footnoteReference w:id="11"/>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hRule="exact" w:val="397"/>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303 Вода 2016</w:t>
            </w: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303-1</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304 Биоразнообразие 2016</w:t>
            </w: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304-3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305 Выбросы 2016</w:t>
            </w: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305-6</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305-7</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306 Сбросы и отходы 2016</w:t>
            </w: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306-1</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306-2</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307 Соответствие экологическим требованиям 2016</w:t>
            </w: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307-1</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484"/>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401 Занятость 2016</w:t>
            </w: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401-2</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noWrap/>
            <w:tcMar>
              <w:top w:w="0" w:type="dxa"/>
              <w:bottom w:w="0" w:type="dxa"/>
            </w:tcMar>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402 Взаимоотношения сотрудников и руководства</w:t>
            </w: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402-1</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403 Здоровье и безопасность на рабочем месте 2016</w:t>
            </w: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403-2</w:t>
            </w:r>
            <w:r w:rsidRPr="00113B50">
              <w:rPr>
                <w:rFonts w:ascii="Times New Roman" w:eastAsia="Calibri" w:hAnsi="Times New Roman" w:cs="Times New Roman"/>
                <w:color w:val="000000"/>
                <w:sz w:val="20"/>
                <w:szCs w:val="20"/>
                <w:vertAlign w:val="superscript"/>
              </w:rPr>
              <w:footnoteReference w:id="12"/>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403-3</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113B50" w:rsidRPr="00113B50" w:rsidTr="00142827">
        <w:tblPrEx>
          <w:tblCellMar>
            <w:top w:w="0" w:type="dxa"/>
            <w:bottom w:w="0" w:type="dxa"/>
          </w:tblCellMar>
          <w:tblLook w:val="0000" w:firstRow="0" w:lastRow="0" w:firstColumn="0" w:lastColumn="0" w:noHBand="0" w:noVBand="0"/>
        </w:tblPrEx>
        <w:trPr>
          <w:trHeight w:hRule="exact" w:val="51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lastRenderedPageBreak/>
              <w:t>GRI 404 Обучение и образование 2016</w:t>
            </w: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404-1</w:t>
            </w:r>
            <w:r w:rsidRPr="00113B50">
              <w:rPr>
                <w:rFonts w:ascii="Times New Roman" w:eastAsia="Calibri" w:hAnsi="Times New Roman" w:cs="Times New Roman"/>
                <w:color w:val="000000"/>
                <w:sz w:val="20"/>
                <w:szCs w:val="20"/>
                <w:vertAlign w:val="superscript"/>
              </w:rPr>
              <w:footnoteReference w:id="13"/>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404-2</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hRule="exact" w:val="51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413 Местные сообщества 2016</w:t>
            </w: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413-1</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413-2</w:t>
            </w:r>
          </w:p>
        </w:tc>
        <w:tc>
          <w:tcPr>
            <w:tcW w:w="5646" w:type="dxa"/>
          </w:tcPr>
          <w:p w:rsid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p w:rsidR="00C56877" w:rsidRPr="00113B50" w:rsidRDefault="00C5687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415 Государственная политика 2016</w:t>
            </w: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415-1</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Госкорпорация «Росатом» не осуществляет пожертвований на политические цели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Международное сотрудничество.</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Выполнение государственных функций</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val="restart"/>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416 Здоровье и безопасность потребителя 2016</w:t>
            </w: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416-2</w:t>
            </w:r>
          </w:p>
        </w:tc>
        <w:tc>
          <w:tcPr>
            <w:tcW w:w="5646" w:type="dxa"/>
          </w:tcPr>
          <w:p w:rsidR="00C56877" w:rsidRDefault="00C5687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Ядерная и радиационная безопасность, охрана труда</w:t>
            </w:r>
          </w:p>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2122" w:type="dxa"/>
            <w:vMerge/>
          </w:tcPr>
          <w:p w:rsidR="00113B50" w:rsidRPr="00113B50" w:rsidRDefault="00113B50" w:rsidP="00113B50">
            <w:pPr>
              <w:rPr>
                <w:rFonts w:ascii="Times New Roman" w:eastAsia="Calibri" w:hAnsi="Times New Roman" w:cs="Times New Roman"/>
                <w:color w:val="000000"/>
                <w:sz w:val="20"/>
                <w:szCs w:val="20"/>
              </w:rPr>
            </w:pPr>
          </w:p>
        </w:tc>
        <w:tc>
          <w:tcPr>
            <w:tcW w:w="1559" w:type="dxa"/>
          </w:tcPr>
          <w:p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9327" w:type="dxa"/>
            <w:gridSpan w:val="3"/>
            <w:shd w:val="clear" w:color="auto" w:fill="1F3864"/>
            <w:vAlign w:val="center"/>
          </w:tcPr>
          <w:p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8. РАСКРЫТИЕ ПОДХОДОВ К УПРАВЛЕНИЮ (103-1, 103-2, 103-3) ДЛЯ СПЕЦИФИЧЕСКИХ ДЛЯ ГОСКОРПОРАЦИИ «РОСАТОМ» ТЕМ</w:t>
            </w:r>
            <w:r w:rsidR="007E70AA">
              <w:rPr>
                <w:rStyle w:val="a5"/>
                <w:rFonts w:ascii="Times New Roman" w:eastAsia="Times New Roman" w:hAnsi="Times New Roman" w:cs="Times New Roman"/>
                <w:b/>
                <w:bCs/>
                <w:color w:val="FFFFFF"/>
                <w:sz w:val="20"/>
                <w:szCs w:val="20"/>
                <w:lang w:eastAsia="ru-RU"/>
              </w:rPr>
              <w:footnoteReference w:id="14"/>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Результаты реализации стратегии Госкорпорации «Росатом», вклад результатов года в реализацию стратегических целей</w:t>
            </w:r>
          </w:p>
        </w:tc>
        <w:tc>
          <w:tcPr>
            <w:tcW w:w="5646" w:type="dxa"/>
            <w:shd w:val="clear" w:color="auto" w:fill="auto"/>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Стратегия деятельности до 2030 года</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Присутствие Госкорпорации «Росатом» на рынках ядерных технологий и услуг (рынки природного урана, конверсии и обогащения урана, ядерного топлива, сооружения АЭC и др.) и рынках новых неатомных бизнесов, а также перспективы развития этих рынков</w:t>
            </w:r>
          </w:p>
        </w:tc>
        <w:tc>
          <w:tcPr>
            <w:tcW w:w="5646" w:type="dxa"/>
            <w:shd w:val="clear" w:color="auto" w:fill="auto"/>
            <w:vAlign w:val="center"/>
          </w:tcPr>
          <w:p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Результаты в области международного бизнеса и международного сотрудничества Госкорпорации «Росатом»</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Международный бизнес.</w:t>
            </w:r>
          </w:p>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Международное сотрудничество</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Перспективы развития атомной энергетики в России и мире. Прогнозная информация о потребностях энергосистемы РФ и энергосистем зарубежных стран</w:t>
            </w:r>
          </w:p>
        </w:tc>
        <w:tc>
          <w:tcPr>
            <w:tcW w:w="5646" w:type="dxa"/>
            <w:vAlign w:val="center"/>
          </w:tcPr>
          <w:p w:rsidR="00113B50" w:rsidRPr="00113B50" w:rsidRDefault="00113B50" w:rsidP="00113B50">
            <w:pPr>
              <w:ind w:left="-5"/>
              <w:jc w:val="center"/>
              <w:rPr>
                <w:rFonts w:ascii="Times New Roman" w:eastAsia="Calibri" w:hAnsi="Times New Roman" w:cs="Times New Roman"/>
                <w:b/>
                <w:color w:val="000000"/>
                <w:sz w:val="24"/>
              </w:rPr>
            </w:pPr>
            <w:r w:rsidRPr="00113B50">
              <w:rPr>
                <w:rFonts w:ascii="Times New Roman" w:eastAsia="Times New Roman" w:hAnsi="Times New Roman" w:cs="Times New Roman"/>
                <w:sz w:val="20"/>
                <w:szCs w:val="20"/>
                <w:lang w:eastAsia="ru-RU"/>
              </w:rPr>
              <w:t>Стратегия деятельности до 2030 года</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Реализация Программы инновационного развития и технологической модернизации Госкорпорации «Росатом»</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Наука и инновации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lastRenderedPageBreak/>
              <w:t>Ключевые риски и возможности для деятельности</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Риск-менеджмент</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Результаты в области диверсификации деятельности Госкорпорации «Росатом» (ядерная медицина, экология, досмотровые системы и центры облучения; неядерное машиностроение; сервисные услуги для АЭС и пр.)</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Международный бизнес</w:t>
            </w:r>
          </w:p>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Диверсификация бизнеса</w:t>
            </w:r>
          </w:p>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Результаты деятельности дивизионов Госкорпорации «Росатом»</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Подходы к управлению изложены в отчетах дивизионов, в разделах «Горнорудный дивизион», «Топливный дивизион», «Машиностроительный дивизион», «Инжиниринговый дивизион», «Электроэнергетический дивизион» приводятся соответствующие ссылки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Реализация проекта «Прорыв» и результаты в области создания новой технологической платформы и перехода к замкнутому ядерному топливному циклу в атомной энергетике</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Наука и инновации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Обращение с РАО и ОЯТ (включая формирование ЕГС РАО), решение проблем «ядерного наследия»</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Деятельность по обращению с РАО, ОЯТ и выводу из эксплуатации ЯРОО</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Реализация международных проектов в области научно-инновационной деятельности</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Международное сотрудничество</w:t>
            </w:r>
          </w:p>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Наука и инновации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Управление финансами и реализация инвестиционной программы Госкорпорации «Росатом»</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Управление финансовой и инвестиционной деятельностью</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Результаты деятельности атомного ледокольного флота</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Атомный ледокольный флот</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Аварийная готовность (готовность к чрезвычайным ситуациям)</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Готовность к аварийному реагированию</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Вклад Госкорпорации «Росатом» в развитие цифровой экономики России</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Наука и инновации.</w:t>
            </w:r>
          </w:p>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Разделы, посвященные результатам деятельности дивизионов</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Обращение с нарушенными и загрязненными территориями</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Экологическая безопасность</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Система управления знаниями Госкорпорации «Росатом» и защита объектов интеллектуальной собственности Госкорпорации «Росатом»</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Наука и инновации</w:t>
            </w:r>
          </w:p>
        </w:tc>
      </w:tr>
      <w:tr w:rsidR="00113B50" w:rsidRPr="00113B50" w:rsidTr="00142827">
        <w:tblPrEx>
          <w:tblCellMar>
            <w:top w:w="0" w:type="dxa"/>
            <w:bottom w:w="0" w:type="dxa"/>
          </w:tblCellMar>
          <w:tblLook w:val="0000" w:firstRow="0" w:lastRow="0" w:firstColumn="0" w:lastColumn="0" w:noHBand="0" w:noVBand="0"/>
        </w:tblPrEx>
        <w:trPr>
          <w:trHeight w:hRule="exact" w:val="567"/>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Результаты деятельности в области импортозамещения</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Диверсификация бизнеса.</w:t>
            </w:r>
          </w:p>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Разделы, посвященные результатам деятельности дивизионов</w:t>
            </w:r>
          </w:p>
          <w:p w:rsidR="00113B50" w:rsidRPr="00113B50" w:rsidRDefault="00113B50" w:rsidP="00113B50">
            <w:pPr>
              <w:ind w:left="-5"/>
              <w:jc w:val="center"/>
              <w:rPr>
                <w:rFonts w:ascii="Times New Roman" w:eastAsia="Calibri" w:hAnsi="Times New Roman" w:cs="Times New Roman"/>
                <w:color w:val="000000"/>
                <w:sz w:val="20"/>
              </w:rPr>
            </w:pP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Развитие закрытых административно-территориальных образований (ЗАТО) и территорий размещения АЭС</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Вклад в развитие территорий присутствия</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Взаимодействие с вузами и привлечение молодых специалистов</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lastRenderedPageBreak/>
              <w:t>Коммуникационные проекты (информационные центры по атомной энергии, коммуникация в сети Интернет, форум «Форсаж» и др.)</w:t>
            </w:r>
          </w:p>
        </w:tc>
        <w:tc>
          <w:tcPr>
            <w:tcW w:w="5646" w:type="dxa"/>
            <w:vAlign w:val="center"/>
          </w:tcPr>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Взаимодействие с заинтересованными сторонами.</w:t>
            </w:r>
          </w:p>
          <w:p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Результаты деятельности Ядерного оружейного комплекса (гражданская часть)</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Диверсификация бизнеса</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Основные характеристики персонала (включая расходы на персонал)</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Реализация кадровой политики</w:t>
            </w:r>
          </w:p>
        </w:tc>
      </w:tr>
      <w:tr w:rsidR="007E70AA"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7E70AA" w:rsidRPr="00113B50" w:rsidRDefault="007E70AA" w:rsidP="00113B50">
            <w:pPr>
              <w:rPr>
                <w:rFonts w:ascii="Times New Roman" w:eastAsia="Calibri" w:hAnsi="Times New Roman" w:cs="Times New Roman"/>
                <w:sz w:val="20"/>
                <w:szCs w:val="20"/>
              </w:rPr>
            </w:pPr>
            <w:r w:rsidRPr="007E70AA">
              <w:rPr>
                <w:rFonts w:ascii="Times New Roman" w:eastAsia="Calibri" w:hAnsi="Times New Roman" w:cs="Times New Roman"/>
                <w:sz w:val="20"/>
                <w:szCs w:val="20"/>
              </w:rPr>
              <w:t>Совершенствование механизмов корпоративного управления, включая применение Кодекса корпоративного управления, рекомендованного Банком России</w:t>
            </w:r>
          </w:p>
        </w:tc>
        <w:tc>
          <w:tcPr>
            <w:tcW w:w="5646" w:type="dxa"/>
            <w:vAlign w:val="center"/>
          </w:tcPr>
          <w:p w:rsidR="007E70AA" w:rsidRPr="00113B50" w:rsidRDefault="007E70AA"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Корпоративное управление</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Деятельность Общественного совета Госкорпорации «Росатом»</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Вклад в развитие территорий присутствия</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Результаты «Производственной Системы Росатом» (ПСР)</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Разделы, посвященные результатам деятельности дивизионов</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Коммуникационные проекты по повышению вовлеченности, признания и мотивации персонала</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Реализация кадровой политики</w:t>
            </w:r>
          </w:p>
        </w:tc>
      </w:tr>
      <w:tr w:rsidR="00113B50" w:rsidRPr="00113B50"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rsidR="00113B50" w:rsidRPr="00113B50" w:rsidRDefault="00113B50" w:rsidP="00113B50">
            <w:pPr>
              <w:rPr>
                <w:rFonts w:ascii="Times New Roman" w:eastAsia="Calibri" w:hAnsi="Times New Roman" w:cs="Times New Roman"/>
                <w:sz w:val="20"/>
                <w:szCs w:val="20"/>
              </w:rPr>
            </w:pPr>
            <w:r w:rsidRPr="00113B50">
              <w:rPr>
                <w:rFonts w:ascii="Times New Roman" w:eastAsia="Calibri" w:hAnsi="Times New Roman" w:cs="Times New Roman"/>
                <w:sz w:val="20"/>
                <w:szCs w:val="20"/>
              </w:rPr>
              <w:t>Деятельность отраслевых СМИ</w:t>
            </w:r>
          </w:p>
        </w:tc>
        <w:tc>
          <w:tcPr>
            <w:tcW w:w="5646" w:type="dxa"/>
            <w:vAlign w:val="center"/>
          </w:tcPr>
          <w:p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Взаимодействие с заинтересованными сторонами</w:t>
            </w:r>
          </w:p>
        </w:tc>
      </w:tr>
    </w:tbl>
    <w:p w:rsidR="00C32EF9" w:rsidRDefault="00C32EF9"/>
    <w:sectPr w:rsidR="00C32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523" w:rsidRDefault="00567523" w:rsidP="00113B50">
      <w:pPr>
        <w:spacing w:after="0" w:line="240" w:lineRule="auto"/>
      </w:pPr>
      <w:r>
        <w:separator/>
      </w:r>
    </w:p>
  </w:endnote>
  <w:endnote w:type="continuationSeparator" w:id="0">
    <w:p w:rsidR="00567523" w:rsidRDefault="00567523" w:rsidP="001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523" w:rsidRDefault="00567523" w:rsidP="00113B50">
      <w:pPr>
        <w:spacing w:after="0" w:line="240" w:lineRule="auto"/>
      </w:pPr>
      <w:r>
        <w:separator/>
      </w:r>
    </w:p>
  </w:footnote>
  <w:footnote w:type="continuationSeparator" w:id="0">
    <w:p w:rsidR="00567523" w:rsidRDefault="00567523" w:rsidP="00113B50">
      <w:pPr>
        <w:spacing w:after="0" w:line="240" w:lineRule="auto"/>
      </w:pPr>
      <w:r>
        <w:continuationSeparator/>
      </w:r>
    </w:p>
  </w:footnote>
  <w:footnote w:id="1">
    <w:p w:rsidR="00113B50" w:rsidRPr="00651B88" w:rsidRDefault="00113B50" w:rsidP="00113B50">
      <w:pPr>
        <w:pStyle w:val="a3"/>
        <w:rPr>
          <w:rFonts w:ascii="Times New Roman" w:hAnsi="Times New Roman"/>
        </w:rPr>
      </w:pPr>
      <w:r w:rsidRPr="00651B88">
        <w:rPr>
          <w:rStyle w:val="a5"/>
          <w:rFonts w:ascii="Times New Roman" w:hAnsi="Times New Roman"/>
        </w:rPr>
        <w:footnoteRef/>
      </w:r>
      <w:r w:rsidRPr="00651B88">
        <w:rPr>
          <w:rFonts w:ascii="Times New Roman" w:hAnsi="Times New Roman"/>
        </w:rPr>
        <w:t xml:space="preserve"> </w:t>
      </w:r>
      <w:bookmarkStart w:id="0" w:name="_Hlk488837900"/>
      <w:r w:rsidR="003B5896" w:rsidRPr="003B5896">
        <w:rPr>
          <w:rFonts w:ascii="Times New Roman" w:hAnsi="Times New Roman"/>
        </w:rPr>
        <w:t>Раскрывается информация о среднесписочной численности. Не раскрыта разбивка по договору о найме (в том числе в разбивке по полу и региону) и по типу занятости (в том числе в разбивке по полу</w:t>
      </w:r>
      <w:r w:rsidR="003B5896">
        <w:rPr>
          <w:rFonts w:ascii="Times New Roman" w:hAnsi="Times New Roman"/>
          <w:lang w:val="ru-RU"/>
        </w:rPr>
        <w:t>).</w:t>
      </w:r>
      <w:r w:rsidR="003B5896" w:rsidRPr="003B5896">
        <w:rPr>
          <w:rFonts w:ascii="Times New Roman" w:hAnsi="Times New Roman"/>
        </w:rPr>
        <w:t xml:space="preserve"> </w:t>
      </w:r>
      <w:r w:rsidRPr="00A0597C">
        <w:rPr>
          <w:rFonts w:ascii="Times New Roman" w:hAnsi="Times New Roman"/>
        </w:rPr>
        <w:t>Корпорация рассмотрит вопрос о сборе и консолидации дополнительной информации в среднесрочной перспективе.</w:t>
      </w:r>
      <w:bookmarkEnd w:id="0"/>
    </w:p>
  </w:footnote>
  <w:footnote w:id="2">
    <w:p w:rsidR="001955DE" w:rsidRDefault="00113B50" w:rsidP="00113B50">
      <w:pPr>
        <w:pStyle w:val="a3"/>
        <w:rPr>
          <w:rFonts w:ascii="Times New Roman" w:hAnsi="Times New Roman"/>
        </w:rPr>
      </w:pPr>
      <w:r w:rsidRPr="00A0597C">
        <w:rPr>
          <w:rStyle w:val="a5"/>
          <w:rFonts w:ascii="Times New Roman" w:hAnsi="Times New Roman"/>
        </w:rPr>
        <w:footnoteRef/>
      </w:r>
      <w:r w:rsidRPr="00A0597C">
        <w:rPr>
          <w:rFonts w:ascii="Times New Roman" w:hAnsi="Times New Roman"/>
        </w:rPr>
        <w:t xml:space="preserve"> Дополнительные сведения о применении принципа предосторожности приведены </w:t>
      </w:r>
      <w:r w:rsidR="001955DE">
        <w:rPr>
          <w:rFonts w:ascii="Times New Roman" w:hAnsi="Times New Roman"/>
          <w:lang w:val="ru-RU"/>
        </w:rPr>
        <w:t xml:space="preserve">в Единой отраслевой экологической политике и </w:t>
      </w:r>
      <w:r w:rsidRPr="00A0597C">
        <w:rPr>
          <w:rFonts w:ascii="Times New Roman" w:hAnsi="Times New Roman"/>
        </w:rPr>
        <w:t>на сайте</w:t>
      </w:r>
      <w:r w:rsidR="001955DE">
        <w:rPr>
          <w:rFonts w:ascii="Times New Roman" w:hAnsi="Times New Roman"/>
          <w:lang w:val="ru-RU"/>
        </w:rPr>
        <w:t xml:space="preserve"> Корпорации</w:t>
      </w:r>
      <w:r w:rsidRPr="00A0597C">
        <w:rPr>
          <w:rFonts w:ascii="Times New Roman" w:hAnsi="Times New Roman"/>
        </w:rPr>
        <w:t xml:space="preserve">: </w:t>
      </w:r>
    </w:p>
    <w:p w:rsidR="001955DE" w:rsidRDefault="001955DE" w:rsidP="00113B50">
      <w:pPr>
        <w:pStyle w:val="a3"/>
        <w:rPr>
          <w:rStyle w:val="a6"/>
          <w:rFonts w:ascii="Times New Roman" w:hAnsi="Times New Roman"/>
        </w:rPr>
      </w:pPr>
      <w:r w:rsidRPr="001955DE">
        <w:rPr>
          <w:rStyle w:val="a6"/>
          <w:rFonts w:ascii="Times New Roman" w:hAnsi="Times New Roman"/>
        </w:rPr>
        <w:t>https://www.rosatom.ru/upload/iblock/74e/74eb9c650aa73e74d0b9b9aadea0c1f8.pdf</w:t>
      </w:r>
    </w:p>
    <w:p w:rsidR="00113B50" w:rsidRPr="00A0597C" w:rsidRDefault="00567523" w:rsidP="00113B50">
      <w:pPr>
        <w:pStyle w:val="a3"/>
        <w:rPr>
          <w:rFonts w:ascii="Times New Roman" w:hAnsi="Times New Roman"/>
        </w:rPr>
      </w:pPr>
      <w:hyperlink r:id="rId1" w:history="1">
        <w:r w:rsidR="001955DE" w:rsidRPr="00081C26">
          <w:rPr>
            <w:rStyle w:val="a6"/>
            <w:rFonts w:ascii="Times New Roman" w:hAnsi="Times New Roman"/>
          </w:rPr>
          <w:t>http://rosatom.ru/production/safety</w:t>
        </w:r>
      </w:hyperlink>
      <w:r w:rsidR="00113B50" w:rsidRPr="00A0597C">
        <w:rPr>
          <w:rFonts w:ascii="Times New Roman" w:hAnsi="Times New Roman"/>
        </w:rPr>
        <w:t xml:space="preserve">. </w:t>
      </w:r>
    </w:p>
  </w:footnote>
  <w:footnote w:id="3">
    <w:p w:rsidR="00113B50" w:rsidRPr="005B7789" w:rsidRDefault="00113B50" w:rsidP="00113B50">
      <w:pPr>
        <w:pStyle w:val="a3"/>
        <w:rPr>
          <w:rFonts w:ascii="Times New Roman" w:hAnsi="Times New Roman"/>
        </w:rPr>
      </w:pPr>
      <w:r w:rsidRPr="00A0597C">
        <w:rPr>
          <w:rStyle w:val="a5"/>
          <w:rFonts w:ascii="Times New Roman" w:hAnsi="Times New Roman"/>
        </w:rPr>
        <w:footnoteRef/>
      </w:r>
      <w:r w:rsidRPr="00A0597C">
        <w:rPr>
          <w:rFonts w:ascii="Times New Roman" w:hAnsi="Times New Roman"/>
        </w:rPr>
        <w:t xml:space="preserve"> Также информация приведена на сайте: </w:t>
      </w:r>
      <w:hyperlink r:id="rId2" w:history="1">
        <w:r w:rsidRPr="00651B88">
          <w:rPr>
            <w:rStyle w:val="a6"/>
            <w:rFonts w:ascii="Times New Roman" w:hAnsi="Times New Roman"/>
          </w:rPr>
          <w:t>http://rosatom.ru/about/mission</w:t>
        </w:r>
      </w:hyperlink>
      <w:r w:rsidRPr="00A0597C">
        <w:rPr>
          <w:rFonts w:ascii="Times New Roman" w:hAnsi="Times New Roman"/>
        </w:rPr>
        <w:t>.</w:t>
      </w:r>
    </w:p>
  </w:footnote>
  <w:footnote w:id="4">
    <w:p w:rsidR="00113B50" w:rsidRPr="000612BC" w:rsidRDefault="00113B50" w:rsidP="00113B50">
      <w:pPr>
        <w:pStyle w:val="a3"/>
        <w:rPr>
          <w:rFonts w:ascii="Times New Roman" w:hAnsi="Times New Roman"/>
        </w:rPr>
      </w:pPr>
      <w:r w:rsidRPr="000612BC">
        <w:rPr>
          <w:rStyle w:val="a5"/>
          <w:rFonts w:ascii="Times New Roman" w:hAnsi="Times New Roman"/>
        </w:rPr>
        <w:footnoteRef/>
      </w:r>
      <w:r w:rsidRPr="000612BC">
        <w:rPr>
          <w:rFonts w:ascii="Times New Roman" w:hAnsi="Times New Roman"/>
        </w:rPr>
        <w:t xml:space="preserve"> Перечень заинтересованных сторон был определен рабочей группой по подготовке отчета на основе анкетирования топ-менеджмента и анализа частоты взаимодействия. </w:t>
      </w:r>
    </w:p>
  </w:footnote>
  <w:footnote w:id="5">
    <w:p w:rsidR="003B5896" w:rsidRPr="003B5896" w:rsidRDefault="00113B50" w:rsidP="00113B50">
      <w:pPr>
        <w:pStyle w:val="a3"/>
        <w:rPr>
          <w:rFonts w:ascii="Times New Roman" w:hAnsi="Times New Roman"/>
          <w:lang w:val="ru-RU"/>
        </w:rPr>
      </w:pPr>
      <w:r w:rsidRPr="008A5590">
        <w:rPr>
          <w:rStyle w:val="a5"/>
          <w:rFonts w:ascii="Times New Roman" w:hAnsi="Times New Roman"/>
        </w:rPr>
        <w:footnoteRef/>
      </w:r>
      <w:r w:rsidRPr="008A5590">
        <w:rPr>
          <w:rFonts w:ascii="Times New Roman" w:hAnsi="Times New Roman"/>
        </w:rPr>
        <w:t xml:space="preserve"> Протоколы диалогов с заинтересованными сторонами в рамках подготовки отчета за 201</w:t>
      </w:r>
      <w:r>
        <w:rPr>
          <w:rFonts w:ascii="Times New Roman" w:hAnsi="Times New Roman"/>
        </w:rPr>
        <w:t>7</w:t>
      </w:r>
      <w:r w:rsidRPr="008A5590">
        <w:rPr>
          <w:rFonts w:ascii="Times New Roman" w:hAnsi="Times New Roman"/>
        </w:rPr>
        <w:t xml:space="preserve"> год </w:t>
      </w:r>
      <w:r w:rsidR="003B5896">
        <w:rPr>
          <w:rFonts w:ascii="Times New Roman" w:hAnsi="Times New Roman"/>
          <w:lang w:val="ru-RU"/>
        </w:rPr>
        <w:t xml:space="preserve">размещены </w:t>
      </w:r>
      <w:r w:rsidR="00292507">
        <w:rPr>
          <w:rFonts w:ascii="Times New Roman" w:hAnsi="Times New Roman"/>
          <w:lang w:val="ru-RU"/>
        </w:rPr>
        <w:t>на сайте Корпорации</w:t>
      </w:r>
      <w:r w:rsidR="00483D84">
        <w:rPr>
          <w:rFonts w:ascii="Times New Roman" w:hAnsi="Times New Roman"/>
          <w:lang w:val="ru-RU"/>
        </w:rPr>
        <w:t xml:space="preserve"> в разделе «Публичная отчетность»: </w:t>
      </w:r>
      <w:hyperlink r:id="rId3" w:history="1">
        <w:r w:rsidR="00483D84" w:rsidRPr="00081C26">
          <w:rPr>
            <w:rStyle w:val="a6"/>
            <w:rFonts w:ascii="Times New Roman" w:hAnsi="Times New Roman"/>
            <w:lang w:val="ru-RU"/>
          </w:rPr>
          <w:t>http://www.rosatom.ru/about/publichnaya-otchetnost/</w:t>
        </w:r>
      </w:hyperlink>
      <w:r w:rsidR="00483D84">
        <w:rPr>
          <w:rFonts w:ascii="Times New Roman" w:hAnsi="Times New Roman"/>
          <w:lang w:val="ru-RU"/>
        </w:rPr>
        <w:t xml:space="preserve"> </w:t>
      </w:r>
    </w:p>
  </w:footnote>
  <w:footnote w:id="6">
    <w:p w:rsidR="00113B50" w:rsidRPr="00154BE9" w:rsidRDefault="00113B50" w:rsidP="00113B50">
      <w:pPr>
        <w:pStyle w:val="a3"/>
        <w:rPr>
          <w:rFonts w:ascii="Times New Roman" w:hAnsi="Times New Roman"/>
        </w:rPr>
      </w:pPr>
      <w:r w:rsidRPr="00154BE9">
        <w:rPr>
          <w:rStyle w:val="a5"/>
          <w:rFonts w:ascii="Times New Roman" w:hAnsi="Times New Roman"/>
        </w:rPr>
        <w:footnoteRef/>
      </w:r>
      <w:r w:rsidRPr="00154BE9">
        <w:rPr>
          <w:rFonts w:ascii="Times New Roman" w:hAnsi="Times New Roman"/>
        </w:rPr>
        <w:t xml:space="preserve"> См. раздел</w:t>
      </w:r>
      <w:r>
        <w:rPr>
          <w:rFonts w:ascii="Times New Roman" w:hAnsi="Times New Roman"/>
        </w:rPr>
        <w:t>ы О</w:t>
      </w:r>
      <w:r w:rsidRPr="00154BE9">
        <w:rPr>
          <w:rFonts w:ascii="Times New Roman" w:hAnsi="Times New Roman"/>
        </w:rPr>
        <w:t>тчета 8.3.6 «Экологические платежи</w:t>
      </w:r>
      <w:r>
        <w:rPr>
          <w:rFonts w:ascii="Times New Roman" w:hAnsi="Times New Roman"/>
        </w:rPr>
        <w:t xml:space="preserve">» и 8.3.7 «Водопользование». </w:t>
      </w:r>
    </w:p>
  </w:footnote>
  <w:footnote w:id="7">
    <w:p w:rsidR="00113B50" w:rsidRPr="008A5590" w:rsidRDefault="00113B50" w:rsidP="00113B50">
      <w:pPr>
        <w:pStyle w:val="a3"/>
        <w:rPr>
          <w:rFonts w:ascii="Times New Roman" w:hAnsi="Times New Roman"/>
        </w:rPr>
      </w:pPr>
      <w:r w:rsidRPr="008A5590">
        <w:rPr>
          <w:rStyle w:val="a5"/>
          <w:rFonts w:ascii="Times New Roman" w:hAnsi="Times New Roman"/>
        </w:rPr>
        <w:footnoteRef/>
      </w:r>
      <w:r w:rsidRPr="008A5590">
        <w:rPr>
          <w:rFonts w:ascii="Times New Roman" w:hAnsi="Times New Roman"/>
        </w:rPr>
        <w:t xml:space="preserve"> Внешнее независимое заверение нефинансовой отчетности осуществляет организация, отбираемая на основе открытой конкурентной закупочной процедуры.</w:t>
      </w:r>
    </w:p>
  </w:footnote>
  <w:footnote w:id="8">
    <w:p w:rsidR="00113B50" w:rsidRPr="001E3A00" w:rsidRDefault="00113B50" w:rsidP="00113B50">
      <w:pPr>
        <w:pStyle w:val="a3"/>
        <w:rPr>
          <w:rFonts w:ascii="Times New Roman" w:hAnsi="Times New Roman"/>
        </w:rPr>
      </w:pPr>
      <w:r w:rsidRPr="00C76123">
        <w:rPr>
          <w:rStyle w:val="a5"/>
          <w:rFonts w:ascii="Times New Roman" w:hAnsi="Times New Roman"/>
        </w:rPr>
        <w:footnoteRef/>
      </w:r>
      <w:r w:rsidRPr="00C76123">
        <w:rPr>
          <w:rFonts w:ascii="Times New Roman" w:hAnsi="Times New Roman"/>
        </w:rPr>
        <w:t xml:space="preserve"> </w:t>
      </w:r>
      <w:r>
        <w:rPr>
          <w:rFonts w:ascii="Times New Roman" w:hAnsi="Times New Roman"/>
        </w:rPr>
        <w:t>Приведенные в таблице стандарты</w:t>
      </w:r>
      <w:r w:rsidRPr="00C76123">
        <w:rPr>
          <w:rFonts w:ascii="Times New Roman" w:hAnsi="Times New Roman"/>
        </w:rPr>
        <w:t xml:space="preserve"> GRI соответствуют следующим базовым индикатор</w:t>
      </w:r>
      <w:r>
        <w:rPr>
          <w:rFonts w:ascii="Times New Roman" w:hAnsi="Times New Roman"/>
        </w:rPr>
        <w:t>ам результативности РСПП: G</w:t>
      </w:r>
      <w:r>
        <w:rPr>
          <w:rFonts w:ascii="Times New Roman" w:hAnsi="Times New Roman"/>
          <w:lang w:val="en-US"/>
        </w:rPr>
        <w:t>RI</w:t>
      </w:r>
      <w:r w:rsidRPr="00C76123">
        <w:rPr>
          <w:rFonts w:ascii="Times New Roman" w:hAnsi="Times New Roman"/>
        </w:rPr>
        <w:t xml:space="preserve"> 303</w:t>
      </w:r>
      <w:r>
        <w:rPr>
          <w:rFonts w:ascii="Times New Roman" w:hAnsi="Times New Roman"/>
        </w:rPr>
        <w:t xml:space="preserve">-1 — РСПП 2.3; </w:t>
      </w:r>
      <w:r>
        <w:rPr>
          <w:rFonts w:ascii="Times New Roman" w:hAnsi="Times New Roman"/>
          <w:lang w:val="en-US"/>
        </w:rPr>
        <w:t>GRI</w:t>
      </w:r>
      <w:r w:rsidRPr="00FB7F69">
        <w:rPr>
          <w:rFonts w:ascii="Times New Roman" w:hAnsi="Times New Roman"/>
        </w:rPr>
        <w:t xml:space="preserve"> 303-3</w:t>
      </w:r>
      <w:r>
        <w:rPr>
          <w:rFonts w:ascii="Times New Roman" w:hAnsi="Times New Roman"/>
        </w:rPr>
        <w:t xml:space="preserve"> — РСПП 2.4; G</w:t>
      </w:r>
      <w:r>
        <w:rPr>
          <w:rFonts w:ascii="Times New Roman" w:hAnsi="Times New Roman"/>
          <w:lang w:val="en-US"/>
        </w:rPr>
        <w:t>RI</w:t>
      </w:r>
      <w:r>
        <w:rPr>
          <w:rFonts w:ascii="Times New Roman" w:hAnsi="Times New Roman"/>
        </w:rPr>
        <w:t xml:space="preserve"> 305-7 — РСПП 2.6; G</w:t>
      </w:r>
      <w:r>
        <w:rPr>
          <w:rFonts w:ascii="Times New Roman" w:hAnsi="Times New Roman"/>
          <w:lang w:val="en-US"/>
        </w:rPr>
        <w:t>RI</w:t>
      </w:r>
      <w:r w:rsidRPr="00C76123">
        <w:rPr>
          <w:rFonts w:ascii="Times New Roman" w:hAnsi="Times New Roman"/>
        </w:rPr>
        <w:t xml:space="preserve"> 306</w:t>
      </w:r>
      <w:r>
        <w:rPr>
          <w:rFonts w:ascii="Times New Roman" w:hAnsi="Times New Roman"/>
        </w:rPr>
        <w:t xml:space="preserve">-1 — РСПП 2.7; </w:t>
      </w:r>
      <w:r>
        <w:rPr>
          <w:rFonts w:ascii="Times New Roman" w:hAnsi="Times New Roman"/>
          <w:lang w:val="en-US"/>
        </w:rPr>
        <w:t>GRI</w:t>
      </w:r>
      <w:r w:rsidRPr="004623BB">
        <w:rPr>
          <w:rFonts w:ascii="Times New Roman" w:hAnsi="Times New Roman"/>
        </w:rPr>
        <w:t xml:space="preserve"> </w:t>
      </w:r>
      <w:r>
        <w:rPr>
          <w:rFonts w:ascii="Times New Roman" w:hAnsi="Times New Roman"/>
        </w:rPr>
        <w:t>306-2–</w:t>
      </w:r>
      <w:r w:rsidRPr="004623BB">
        <w:rPr>
          <w:rFonts w:ascii="Times New Roman" w:hAnsi="Times New Roman"/>
        </w:rPr>
        <w:t xml:space="preserve"> </w:t>
      </w:r>
      <w:r>
        <w:rPr>
          <w:rFonts w:ascii="Times New Roman" w:hAnsi="Times New Roman"/>
        </w:rPr>
        <w:t>РСПП 2.8; GR</w:t>
      </w:r>
      <w:r>
        <w:rPr>
          <w:rFonts w:ascii="Times New Roman" w:hAnsi="Times New Roman"/>
          <w:lang w:val="en-US"/>
        </w:rPr>
        <w:t>I</w:t>
      </w:r>
      <w:r w:rsidRPr="00C76123">
        <w:rPr>
          <w:rFonts w:ascii="Times New Roman" w:hAnsi="Times New Roman"/>
        </w:rPr>
        <w:t xml:space="preserve"> 403</w:t>
      </w:r>
      <w:r>
        <w:rPr>
          <w:rFonts w:ascii="Times New Roman" w:hAnsi="Times New Roman"/>
        </w:rPr>
        <w:t xml:space="preserve">-2 — РСПП 3.1.5.–3.1.8; GRI 404-1 — РСПП 3.1.10; </w:t>
      </w:r>
      <w:r>
        <w:rPr>
          <w:rFonts w:ascii="Times New Roman" w:hAnsi="Times New Roman"/>
          <w:lang w:val="en-US"/>
        </w:rPr>
        <w:t>GRI</w:t>
      </w:r>
      <w:r>
        <w:rPr>
          <w:rFonts w:ascii="Times New Roman" w:hAnsi="Times New Roman"/>
        </w:rPr>
        <w:t xml:space="preserve"> 413-1 — РСПП 3.3.3. </w:t>
      </w:r>
    </w:p>
  </w:footnote>
  <w:footnote w:id="9">
    <w:p w:rsidR="00113B50" w:rsidRPr="00574D04" w:rsidRDefault="00113B50" w:rsidP="00113B50">
      <w:pPr>
        <w:pStyle w:val="a3"/>
        <w:rPr>
          <w:rFonts w:ascii="Times New Roman" w:hAnsi="Times New Roman"/>
        </w:rPr>
      </w:pPr>
      <w:r>
        <w:rPr>
          <w:rStyle w:val="a5"/>
        </w:rPr>
        <w:footnoteRef/>
      </w:r>
      <w:r>
        <w:t xml:space="preserve"> </w:t>
      </w:r>
      <w:r>
        <w:rPr>
          <w:rFonts w:ascii="Times New Roman" w:hAnsi="Times New Roman"/>
        </w:rPr>
        <w:t xml:space="preserve">Здесь и далее: границы по раскрытию тем </w:t>
      </w:r>
      <w:r>
        <w:rPr>
          <w:rFonts w:ascii="Times New Roman" w:hAnsi="Times New Roman"/>
          <w:lang w:val="en-US"/>
        </w:rPr>
        <w:t>GRI</w:t>
      </w:r>
      <w:r w:rsidRPr="00574D04">
        <w:rPr>
          <w:rFonts w:ascii="Times New Roman" w:hAnsi="Times New Roman"/>
        </w:rPr>
        <w:t xml:space="preserve"> </w:t>
      </w:r>
      <w:r>
        <w:rPr>
          <w:rFonts w:ascii="Times New Roman" w:hAnsi="Times New Roman"/>
        </w:rPr>
        <w:t xml:space="preserve">будут приведены в интерактивной версии отчета. </w:t>
      </w:r>
    </w:p>
  </w:footnote>
  <w:footnote w:id="10">
    <w:p w:rsidR="00113B50" w:rsidRPr="00367BBC" w:rsidRDefault="00113B50" w:rsidP="00113B50">
      <w:pPr>
        <w:pStyle w:val="a3"/>
        <w:rPr>
          <w:rFonts w:ascii="Times New Roman" w:hAnsi="Times New Roman"/>
        </w:rPr>
      </w:pPr>
      <w:r w:rsidRPr="00367BBC">
        <w:rPr>
          <w:rStyle w:val="a5"/>
          <w:rFonts w:ascii="Times New Roman" w:hAnsi="Times New Roman"/>
        </w:rPr>
        <w:footnoteRef/>
      </w:r>
      <w:r w:rsidRPr="00367BBC">
        <w:rPr>
          <w:rFonts w:ascii="Times New Roman" w:hAnsi="Times New Roman"/>
        </w:rPr>
        <w:t xml:space="preserve"> Все сотрудники и партнеры Госкорпорации «Росатом» могут получить информацию о мерах по противодействию коррупции (в т.ч. о нормативных документах в этой сфере) на официальном сайте (http://rosatom.ru/about/protivodeystvie-korruptsii).</w:t>
      </w:r>
    </w:p>
    <w:p w:rsidR="00113B50" w:rsidRPr="00FE4028" w:rsidRDefault="00113B50" w:rsidP="00113B50">
      <w:pPr>
        <w:pStyle w:val="a3"/>
        <w:rPr>
          <w:rFonts w:ascii="Times New Roman" w:hAnsi="Times New Roman"/>
        </w:rPr>
      </w:pPr>
      <w:r w:rsidRPr="00367BBC">
        <w:rPr>
          <w:rFonts w:ascii="Times New Roman" w:hAnsi="Times New Roman"/>
        </w:rPr>
        <w:t xml:space="preserve">Не приведена разбивка количества сотрудников, прошедших обучение, по региону и категориям, не рассчитана доля сотрудников, прошедших обучение, в разбивке по региону и категории. Не приведены данные по информированию и обучению по руководителям высшего ранга. Корпорация рассмотрит вопрос </w:t>
      </w:r>
      <w:r w:rsidRPr="00FE4028">
        <w:rPr>
          <w:rFonts w:ascii="Times New Roman" w:hAnsi="Times New Roman"/>
        </w:rPr>
        <w:t>о сборе и консолидации дополнительной информации в среднесрочной перспективе.</w:t>
      </w:r>
    </w:p>
  </w:footnote>
  <w:footnote w:id="11">
    <w:p w:rsidR="00113B50" w:rsidRDefault="00113B50" w:rsidP="00113B50">
      <w:pPr>
        <w:pStyle w:val="a3"/>
      </w:pPr>
      <w:r w:rsidRPr="00FE4028">
        <w:rPr>
          <w:rStyle w:val="a5"/>
          <w:rFonts w:ascii="Times New Roman" w:hAnsi="Times New Roman"/>
        </w:rPr>
        <w:footnoteRef/>
      </w:r>
      <w:r w:rsidRPr="00FE4028">
        <w:rPr>
          <w:rFonts w:ascii="Times New Roman" w:hAnsi="Times New Roman"/>
        </w:rPr>
        <w:t xml:space="preserve"> Не ра</w:t>
      </w:r>
      <w:bookmarkStart w:id="1" w:name="_GoBack"/>
      <w:bookmarkEnd w:id="1"/>
      <w:r w:rsidRPr="00FE4028">
        <w:rPr>
          <w:rFonts w:ascii="Times New Roman" w:hAnsi="Times New Roman"/>
        </w:rPr>
        <w:t>скрыто сокращение потребления энергии в джоулях в связи с отсутствием централизованной системы учета. Раскрытие информации в абсолютных величинах представляется нецелесообразным, т.к. может некорректно отражать реально достигнутую эффективность в энергопотреблении.</w:t>
      </w:r>
    </w:p>
  </w:footnote>
  <w:footnote w:id="12">
    <w:p w:rsidR="00113B50" w:rsidRPr="00EC156E" w:rsidRDefault="00113B50" w:rsidP="00113B50">
      <w:pPr>
        <w:pStyle w:val="a3"/>
        <w:rPr>
          <w:rFonts w:ascii="Times New Roman" w:hAnsi="Times New Roman"/>
        </w:rPr>
      </w:pPr>
      <w:r w:rsidRPr="00EC156E">
        <w:rPr>
          <w:rStyle w:val="a5"/>
          <w:rFonts w:ascii="Times New Roman" w:hAnsi="Times New Roman"/>
        </w:rPr>
        <w:footnoteRef/>
      </w:r>
      <w:r w:rsidRPr="00EC156E">
        <w:rPr>
          <w:rFonts w:ascii="Times New Roman" w:hAnsi="Times New Roman"/>
        </w:rPr>
        <w:t xml:space="preserve"> </w:t>
      </w:r>
      <w:r>
        <w:rPr>
          <w:rFonts w:ascii="Times New Roman" w:hAnsi="Times New Roman"/>
        </w:rPr>
        <w:t xml:space="preserve">Не раскрыт коэффициент профессиональной заболеваемости, коэффициент потерянных дней, </w:t>
      </w:r>
      <w:r w:rsidRPr="00EC156E">
        <w:rPr>
          <w:rFonts w:ascii="Times New Roman" w:hAnsi="Times New Roman"/>
        </w:rPr>
        <w:t>коэффициент отсутствия на рабочем месте</w:t>
      </w:r>
      <w:r w:rsidR="007A7D05">
        <w:rPr>
          <w:rFonts w:ascii="Times New Roman" w:hAnsi="Times New Roman"/>
          <w:lang w:val="ru-RU"/>
        </w:rPr>
        <w:t>,</w:t>
      </w:r>
      <w:r w:rsidRPr="00EC156E">
        <w:rPr>
          <w:rFonts w:ascii="Times New Roman" w:hAnsi="Times New Roman"/>
        </w:rPr>
        <w:t xml:space="preserve"> </w:t>
      </w:r>
      <w:r w:rsidR="007A7D05" w:rsidRPr="007A7D05">
        <w:rPr>
          <w:rFonts w:ascii="Times New Roman" w:hAnsi="Times New Roman"/>
        </w:rPr>
        <w:t>информация по виду травм в разбивке по региону и полу, а также информация о травматизме среди сотрудников подрядчиков</w:t>
      </w:r>
      <w:r w:rsidR="007A7D05">
        <w:rPr>
          <w:rFonts w:ascii="Times New Roman" w:hAnsi="Times New Roman"/>
          <w:lang w:val="ru-RU"/>
        </w:rPr>
        <w:t xml:space="preserve"> </w:t>
      </w:r>
      <w:r w:rsidRPr="00EC156E">
        <w:rPr>
          <w:rFonts w:ascii="Times New Roman" w:hAnsi="Times New Roman"/>
        </w:rPr>
        <w:t>в связи со сложностью сбора консолидированной информации по всем подразделениям Корпорации. Корпорация рассмотрит вопрос о сборе и консолидации дополнительной информации в среднесрочной перспективе.</w:t>
      </w:r>
    </w:p>
  </w:footnote>
  <w:footnote w:id="13">
    <w:p w:rsidR="00113B50" w:rsidRPr="002F0BA9" w:rsidRDefault="00113B50" w:rsidP="00113B50">
      <w:pPr>
        <w:pStyle w:val="a3"/>
        <w:rPr>
          <w:rFonts w:ascii="Times New Roman" w:hAnsi="Times New Roman"/>
        </w:rPr>
      </w:pPr>
      <w:r w:rsidRPr="002F0BA9">
        <w:rPr>
          <w:rStyle w:val="a5"/>
          <w:rFonts w:ascii="Times New Roman" w:hAnsi="Times New Roman"/>
        </w:rPr>
        <w:footnoteRef/>
      </w:r>
      <w:r w:rsidRPr="002F0BA9">
        <w:rPr>
          <w:rFonts w:ascii="Times New Roman" w:hAnsi="Times New Roman"/>
        </w:rPr>
        <w:t xml:space="preserve"> Не раскрыто в разбивке по полу сотрудников в связи с отсутствием системы учета соответствующей</w:t>
      </w:r>
    </w:p>
    <w:p w:rsidR="00113B50" w:rsidRPr="000F13FF" w:rsidRDefault="00113B50" w:rsidP="00113B50">
      <w:pPr>
        <w:pStyle w:val="a3"/>
        <w:rPr>
          <w:rFonts w:ascii="Times New Roman" w:hAnsi="Times New Roman"/>
        </w:rPr>
      </w:pPr>
      <w:r w:rsidRPr="002F0BA9">
        <w:rPr>
          <w:rFonts w:ascii="Times New Roman" w:hAnsi="Times New Roman"/>
        </w:rPr>
        <w:t>информации. Корпорация рассмотрит вопрос о сборе и консолидации дополнительной информации в среднесрочной перспективе.</w:t>
      </w:r>
    </w:p>
  </w:footnote>
  <w:footnote w:id="14">
    <w:p w:rsidR="007E70AA" w:rsidRPr="007E70AA" w:rsidRDefault="007E70AA">
      <w:pPr>
        <w:pStyle w:val="a3"/>
        <w:rPr>
          <w:rFonts w:ascii="Times New Roman" w:hAnsi="Times New Roman"/>
          <w:lang w:val="ru-RU"/>
        </w:rPr>
      </w:pPr>
      <w:r>
        <w:rPr>
          <w:rStyle w:val="a5"/>
        </w:rPr>
        <w:footnoteRef/>
      </w:r>
      <w:r>
        <w:t xml:space="preserve"> </w:t>
      </w:r>
      <w:r>
        <w:rPr>
          <w:rFonts w:ascii="Times New Roman" w:hAnsi="Times New Roman"/>
          <w:lang w:val="ru-RU"/>
        </w:rPr>
        <w:t xml:space="preserve">По решению рабочей группы по подготовке Отчета информация по теме «Информационная безопасность Госкорпорации «Росатом» будет раскрыта в Отчете за 2018 год в контексте цифровой трансформации российской атомной отрасли.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50"/>
    <w:rsid w:val="00097F7D"/>
    <w:rsid w:val="00113B50"/>
    <w:rsid w:val="001918E4"/>
    <w:rsid w:val="001955DE"/>
    <w:rsid w:val="00292507"/>
    <w:rsid w:val="00301F81"/>
    <w:rsid w:val="003B5896"/>
    <w:rsid w:val="003F6C2F"/>
    <w:rsid w:val="00483D84"/>
    <w:rsid w:val="004E0FC2"/>
    <w:rsid w:val="00567523"/>
    <w:rsid w:val="007A7D05"/>
    <w:rsid w:val="007E70AA"/>
    <w:rsid w:val="009170AA"/>
    <w:rsid w:val="0094140A"/>
    <w:rsid w:val="009B1C36"/>
    <w:rsid w:val="00C32EF9"/>
    <w:rsid w:val="00C56877"/>
    <w:rsid w:val="00D66C01"/>
    <w:rsid w:val="00D710A2"/>
    <w:rsid w:val="00F6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5C68"/>
  <w15:chartTrackingRefBased/>
  <w15:docId w15:val="{E62CAC8C-8B2C-4584-83B8-CD81932C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uiPriority w:val="99"/>
    <w:unhideWhenUsed/>
    <w:qFormat/>
    <w:rsid w:val="00113B50"/>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single space Знак,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uiPriority w:val="99"/>
    <w:rsid w:val="00113B50"/>
    <w:rPr>
      <w:rFonts w:ascii="Calibri" w:eastAsia="Calibri" w:hAnsi="Calibri" w:cs="Times New Roman"/>
      <w:sz w:val="20"/>
      <w:szCs w:val="20"/>
      <w:lang w:val="x-none" w:eastAsia="x-none"/>
    </w:rPr>
  </w:style>
  <w:style w:type="character" w:styleId="a5">
    <w:name w:val="footnote reference"/>
    <w:aliases w:val="Знак сноски 1,fr,Used by Word for Help footnote symbols,Знак сноски-FN,Ciae niinee-FN,Ссылка на сноску 45,Footnote Reference Number"/>
    <w:uiPriority w:val="99"/>
    <w:unhideWhenUsed/>
    <w:rsid w:val="00113B50"/>
    <w:rPr>
      <w:vertAlign w:val="superscript"/>
    </w:rPr>
  </w:style>
  <w:style w:type="character" w:styleId="a6">
    <w:name w:val="Hyperlink"/>
    <w:uiPriority w:val="99"/>
    <w:unhideWhenUsed/>
    <w:rsid w:val="00113B50"/>
    <w:rPr>
      <w:color w:val="0563C1"/>
      <w:u w:val="single"/>
    </w:rPr>
  </w:style>
  <w:style w:type="character" w:styleId="a7">
    <w:name w:val="Unresolved Mention"/>
    <w:basedOn w:val="a0"/>
    <w:uiPriority w:val="99"/>
    <w:semiHidden/>
    <w:unhideWhenUsed/>
    <w:rsid w:val="00195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atom.ru/about/publichnaya-otchetno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osatom.ru/about/publichnaya-otchetnost/" TargetMode="External"/><Relationship Id="rId2" Type="http://schemas.openxmlformats.org/officeDocument/2006/relationships/hyperlink" Target="http://rosatom.ru/about/mission/" TargetMode="External"/><Relationship Id="rId1" Type="http://schemas.openxmlformats.org/officeDocument/2006/relationships/hyperlink" Target="http://rosatom.ru/production/saf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DE6B-4BC0-46E7-B4C1-E62C3A29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2018-08-21T09:21:00Z</dcterms:created>
  <dcterms:modified xsi:type="dcterms:W3CDTF">2018-10-23T14:33:00Z</dcterms:modified>
</cp:coreProperties>
</file>